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7A0E" w14:textId="77777777" w:rsidR="00610C15" w:rsidRDefault="007808B7">
      <w:pPr>
        <w:spacing w:after="40"/>
      </w:pPr>
      <w:r>
        <w:rPr>
          <w:b/>
          <w:bCs/>
          <w:color w:val="1F4E79"/>
          <w:sz w:val="36"/>
          <w:szCs w:val="36"/>
        </w:rPr>
        <w:t>DAVID FERENCE</w:t>
      </w:r>
    </w:p>
    <w:p w14:paraId="56465D93" w14:textId="638407CA" w:rsidR="00610C15" w:rsidRDefault="007808B7">
      <w:pPr>
        <w:spacing w:after="60"/>
      </w:pPr>
      <w:r>
        <w:rPr>
          <w:i/>
          <w:iCs/>
          <w:color w:val="2E75B6"/>
          <w:sz w:val="22"/>
          <w:szCs w:val="22"/>
        </w:rPr>
        <w:t>Cybersecurity Expert Witness</w:t>
      </w:r>
      <w:r>
        <w:rPr>
          <w:i/>
          <w:iCs/>
          <w:color w:val="2E75B6"/>
          <w:sz w:val="22"/>
          <w:szCs w:val="22"/>
        </w:rPr>
        <w:t xml:space="preserve"> |</w:t>
      </w:r>
      <w:r>
        <w:rPr>
          <w:i/>
          <w:iCs/>
          <w:color w:val="2E75B6"/>
          <w:sz w:val="22"/>
          <w:szCs w:val="22"/>
        </w:rPr>
        <w:t xml:space="preserve"> Insider </w:t>
      </w:r>
      <w:r w:rsidR="00AF6A87">
        <w:rPr>
          <w:i/>
          <w:iCs/>
          <w:color w:val="2E75B6"/>
          <w:sz w:val="22"/>
          <w:szCs w:val="22"/>
        </w:rPr>
        <w:t>Threat | Digital</w:t>
      </w:r>
      <w:r>
        <w:rPr>
          <w:i/>
          <w:iCs/>
          <w:color w:val="2E75B6"/>
          <w:sz w:val="22"/>
          <w:szCs w:val="22"/>
        </w:rPr>
        <w:t xml:space="preserve"> </w:t>
      </w:r>
      <w:r w:rsidR="00AF6A87">
        <w:rPr>
          <w:i/>
          <w:iCs/>
          <w:color w:val="2E75B6"/>
          <w:sz w:val="22"/>
          <w:szCs w:val="22"/>
        </w:rPr>
        <w:t>Investigations | Fraud</w:t>
      </w:r>
      <w:r>
        <w:rPr>
          <w:i/>
          <w:iCs/>
          <w:color w:val="2E75B6"/>
          <w:sz w:val="22"/>
          <w:szCs w:val="22"/>
        </w:rPr>
        <w:t xml:space="preserve"> &amp; Behavioral Analytics</w:t>
      </w:r>
    </w:p>
    <w:p w14:paraId="6480BF38" w14:textId="785DF895" w:rsidR="00610C15" w:rsidRDefault="007808B7">
      <w:pPr>
        <w:spacing w:after="60"/>
      </w:pPr>
      <w:r>
        <w:rPr>
          <w:sz w:val="20"/>
          <w:szCs w:val="20"/>
        </w:rPr>
        <w:t>(703) 485-</w:t>
      </w:r>
      <w:r w:rsidR="00AF6A87">
        <w:rPr>
          <w:sz w:val="20"/>
          <w:szCs w:val="20"/>
        </w:rPr>
        <w:t>6725 | Steeltown12@protonmail.com</w:t>
      </w:r>
    </w:p>
    <w:p w14:paraId="3A34B9FC" w14:textId="45312B85" w:rsidR="00610C15" w:rsidRDefault="007808B7">
      <w:pPr>
        <w:pBdr>
          <w:bottom w:val="single" w:sz="6" w:space="1" w:color="1F4E79"/>
        </w:pBdr>
        <w:spacing w:after="200"/>
      </w:pPr>
      <w:r>
        <w:rPr>
          <w:color w:val="555555"/>
          <w:sz w:val="18"/>
          <w:szCs w:val="18"/>
        </w:rPr>
        <w:t xml:space="preserve">IRS Public Trust </w:t>
      </w:r>
      <w:r w:rsidR="00AF6A87">
        <w:rPr>
          <w:color w:val="555555"/>
          <w:sz w:val="18"/>
          <w:szCs w:val="18"/>
        </w:rPr>
        <w:t>Clearance | DoD</w:t>
      </w:r>
      <w:r>
        <w:rPr>
          <w:color w:val="555555"/>
          <w:sz w:val="18"/>
          <w:szCs w:val="18"/>
        </w:rPr>
        <w:t xml:space="preserve"> Secret </w:t>
      </w:r>
      <w:r w:rsidR="00AF6A87">
        <w:rPr>
          <w:color w:val="555555"/>
          <w:sz w:val="18"/>
          <w:szCs w:val="18"/>
        </w:rPr>
        <w:t>Clearance | M.S.</w:t>
      </w:r>
      <w:r>
        <w:rPr>
          <w:color w:val="555555"/>
          <w:sz w:val="18"/>
          <w:szCs w:val="18"/>
        </w:rPr>
        <w:t xml:space="preserve"> Criminal Justice — University of </w:t>
      </w:r>
      <w:r w:rsidR="00AF6A87">
        <w:rPr>
          <w:color w:val="555555"/>
          <w:sz w:val="18"/>
          <w:szCs w:val="18"/>
        </w:rPr>
        <w:t>Cincinnati | B.S.</w:t>
      </w:r>
      <w:r>
        <w:rPr>
          <w:color w:val="555555"/>
          <w:sz w:val="18"/>
          <w:szCs w:val="18"/>
        </w:rPr>
        <w:t xml:space="preserve"> Administration of Justice — Penn State</w:t>
      </w:r>
    </w:p>
    <w:p w14:paraId="13CFCEF1" w14:textId="77777777" w:rsidR="00610C15" w:rsidRDefault="007808B7">
      <w:pPr>
        <w:pBdr>
          <w:bottom w:val="single" w:sz="6" w:space="1" w:color="2E75B6"/>
        </w:pBdr>
        <w:spacing w:before="280" w:after="100"/>
      </w:pPr>
      <w:r>
        <w:rPr>
          <w:b/>
          <w:bCs/>
          <w:color w:val="1F4E79"/>
          <w:sz w:val="24"/>
          <w:szCs w:val="24"/>
        </w:rPr>
        <w:t>EXPERT WITNESS HEADLINE</w:t>
      </w:r>
    </w:p>
    <w:p w14:paraId="2642B796" w14:textId="77777777" w:rsidR="00610C15" w:rsidRDefault="007808B7">
      <w:pPr>
        <w:pBdr>
          <w:top w:val="single" w:sz="3" w:space="0" w:color="2E75B6"/>
          <w:bottom w:val="single" w:sz="3" w:space="0" w:color="2E75B6"/>
        </w:pBdr>
        <w:shd w:val="clear" w:color="auto" w:fill="EBF3FB"/>
        <w:spacing w:after="200"/>
      </w:pPr>
      <w:r>
        <w:rPr>
          <w:b/>
          <w:bCs/>
          <w:color w:val="1F4E79"/>
          <w:sz w:val="24"/>
          <w:szCs w:val="24"/>
        </w:rPr>
        <w:t>Federal Cybersecurity Investigator with 13+ Years of Experience in Insider Threat Detection, Digital Fraud Analysis, and Behavioral Analytics — Bridging Technical Findings with Legal Clarity.</w:t>
      </w:r>
    </w:p>
    <w:p w14:paraId="6889CCA2" w14:textId="77777777" w:rsidR="00610C15" w:rsidRDefault="007808B7">
      <w:pPr>
        <w:pBdr>
          <w:bottom w:val="single" w:sz="6" w:space="1" w:color="2E75B6"/>
        </w:pBdr>
        <w:spacing w:before="280" w:after="100"/>
      </w:pPr>
      <w:r>
        <w:rPr>
          <w:b/>
          <w:bCs/>
          <w:color w:val="1F4E79"/>
          <w:sz w:val="24"/>
          <w:szCs w:val="24"/>
        </w:rPr>
        <w:t>EXPERT PROFILE SUMMARY</w:t>
      </w:r>
    </w:p>
    <w:p w14:paraId="097C4636" w14:textId="77777777" w:rsidR="00610C15" w:rsidRDefault="007808B7">
      <w:pPr>
        <w:spacing w:after="140"/>
        <w:jc w:val="both"/>
      </w:pPr>
      <w:r>
        <w:t>David Ference is a seasoned cybersecurity investigator and certified insider threat professional with more than 13 years of combined experience across federal security operations, independent investigations, and classified background adjudications. He has served as a Senior Insider Threat Analyst supporting the IRS IT Cybersecurity division, where he detected, investigated, and escalated unauthorized access incidents involving federal employees and contractors, coordinating directly with the Treasury Inspec</w:t>
      </w:r>
      <w:r>
        <w:t>tor General for Tax Administration (TIGTA) Cybercrimes Group.</w:t>
      </w:r>
    </w:p>
    <w:p w14:paraId="7F9E338B" w14:textId="77777777" w:rsidR="00610C15" w:rsidRDefault="007808B7">
      <w:pPr>
        <w:spacing w:after="140"/>
        <w:jc w:val="both"/>
      </w:pPr>
      <w:r>
        <w:t xml:space="preserve">Mr. Ference holds dual certifications from Carnegie Mellon University’s Software Engineering Institute as both a Certified Insider Threat Analyst and a Certified Insider Threat Program Manager — among the most rigorous credentials in the field. His technical proficiency spans SIEM platforms (Splunk Enterprise Security), Security Orchestration and Automated Response (Splunk SOAR), DLP systems, User Activity Monitoring (UAM), behavioral analytics, and predictive modeling. He is further certified in Palo Alto </w:t>
      </w:r>
      <w:r>
        <w:t>Cortex XSIAM investigation and analysis and in AI prompt engineering.</w:t>
      </w:r>
    </w:p>
    <w:p w14:paraId="732C68F5" w14:textId="77777777" w:rsidR="00610C15" w:rsidRDefault="007808B7">
      <w:pPr>
        <w:spacing w:after="200"/>
        <w:jc w:val="both"/>
      </w:pPr>
      <w:r>
        <w:t xml:space="preserve">Prior to his federal cybersecurity career, Mr. Ference operated for seven years as an independent Principal Investigator handling complex civil and criminal matters — including medical fraud, theft, workplace violence, and wrongful death — and served as a cleared Background Investigator for CACI International conducting classified federal adjudications. This rare combination of hands-on investigative tradecraft and enterprise cybersecurity expertise positions him as a uniquely credible and effective expert </w:t>
      </w:r>
      <w:r>
        <w:t>witness in matters at the intersection of digital evidence, insider misconduct, fraud, and institutional security.</w:t>
      </w:r>
    </w:p>
    <w:p w14:paraId="09C37CD0" w14:textId="77777777" w:rsidR="00610C15" w:rsidRDefault="007808B7">
      <w:pPr>
        <w:pBdr>
          <w:bottom w:val="single" w:sz="6" w:space="1" w:color="2E75B6"/>
        </w:pBdr>
        <w:spacing w:before="280" w:after="100"/>
      </w:pPr>
      <w:r>
        <w:rPr>
          <w:b/>
          <w:bCs/>
          <w:color w:val="1F4E79"/>
          <w:sz w:val="24"/>
          <w:szCs w:val="24"/>
        </w:rPr>
        <w:t>AREAS OF EXPERTISE</w:t>
      </w:r>
    </w:p>
    <w:p w14:paraId="2B97EA24" w14:textId="77777777" w:rsidR="00610C15" w:rsidRDefault="007808B7">
      <w:pPr>
        <w:pStyle w:val="ListParagraph"/>
        <w:numPr>
          <w:ilvl w:val="0"/>
          <w:numId w:val="2"/>
        </w:numPr>
        <w:spacing w:after="80"/>
      </w:pPr>
      <w:r>
        <w:t>Insider Threat Detection, Program Management &amp; Enforcement</w:t>
      </w:r>
    </w:p>
    <w:p w14:paraId="7DFE31DA" w14:textId="77777777" w:rsidR="00610C15" w:rsidRDefault="007808B7">
      <w:pPr>
        <w:pStyle w:val="ListParagraph"/>
        <w:numPr>
          <w:ilvl w:val="0"/>
          <w:numId w:val="2"/>
        </w:numPr>
        <w:spacing w:after="80"/>
      </w:pPr>
      <w:r>
        <w:t>Cybersecurity Incident Response &amp; Federal Investigation Protocols</w:t>
      </w:r>
    </w:p>
    <w:p w14:paraId="1BCB830A" w14:textId="77777777" w:rsidR="00610C15" w:rsidRDefault="007808B7">
      <w:pPr>
        <w:pStyle w:val="ListParagraph"/>
        <w:numPr>
          <w:ilvl w:val="0"/>
          <w:numId w:val="2"/>
        </w:numPr>
        <w:spacing w:after="80"/>
      </w:pPr>
      <w:r>
        <w:t>Digital Evidence Collection, Chain of Custody &amp; Authenticity</w:t>
      </w:r>
    </w:p>
    <w:p w14:paraId="696EE06F" w14:textId="77777777" w:rsidR="00610C15" w:rsidRDefault="007808B7">
      <w:pPr>
        <w:pStyle w:val="ListParagraph"/>
        <w:numPr>
          <w:ilvl w:val="0"/>
          <w:numId w:val="2"/>
        </w:numPr>
        <w:spacing w:after="80"/>
      </w:pPr>
      <w:r>
        <w:t>SIEM Analysis, Log Forensics &amp; Behavioral Anomaly Detection</w:t>
      </w:r>
    </w:p>
    <w:p w14:paraId="5DA4FF4E" w14:textId="77777777" w:rsidR="00610C15" w:rsidRDefault="007808B7">
      <w:pPr>
        <w:pStyle w:val="ListParagraph"/>
        <w:numPr>
          <w:ilvl w:val="0"/>
          <w:numId w:val="2"/>
        </w:numPr>
        <w:spacing w:after="80"/>
      </w:pPr>
      <w:r>
        <w:t>User Activity Monitoring (UAM) &amp; Data Loss Prevention (DLP)</w:t>
      </w:r>
    </w:p>
    <w:p w14:paraId="1DE32C47" w14:textId="77777777" w:rsidR="00610C15" w:rsidRDefault="007808B7">
      <w:pPr>
        <w:pStyle w:val="ListParagraph"/>
        <w:numPr>
          <w:ilvl w:val="0"/>
          <w:numId w:val="2"/>
        </w:numPr>
        <w:spacing w:after="80"/>
      </w:pPr>
      <w:r>
        <w:t>OSINT Investigations &amp; Background Adjudications</w:t>
      </w:r>
    </w:p>
    <w:p w14:paraId="2F266A93" w14:textId="77777777" w:rsidR="00610C15" w:rsidRDefault="007808B7">
      <w:pPr>
        <w:pStyle w:val="ListParagraph"/>
        <w:numPr>
          <w:ilvl w:val="0"/>
          <w:numId w:val="2"/>
        </w:numPr>
        <w:spacing w:after="80"/>
      </w:pPr>
      <w:r>
        <w:t>Fraud Detection: Medical, Financial &amp; Identity Fraud</w:t>
      </w:r>
    </w:p>
    <w:p w14:paraId="6FD34784" w14:textId="77777777" w:rsidR="00610C15" w:rsidRDefault="007808B7">
      <w:pPr>
        <w:pStyle w:val="ListParagraph"/>
        <w:numPr>
          <w:ilvl w:val="0"/>
          <w:numId w:val="2"/>
        </w:numPr>
        <w:spacing w:after="80"/>
      </w:pPr>
      <w:r>
        <w:t>MITRE ATT&amp;CK Framework Application &amp; Threat Intelligence</w:t>
      </w:r>
    </w:p>
    <w:p w14:paraId="176B830C" w14:textId="77777777" w:rsidR="00610C15" w:rsidRDefault="007808B7">
      <w:pPr>
        <w:pStyle w:val="ListParagraph"/>
        <w:numPr>
          <w:ilvl w:val="0"/>
          <w:numId w:val="2"/>
        </w:numPr>
        <w:spacing w:after="80"/>
      </w:pPr>
      <w:r>
        <w:t>Risk Analysis, Data Correlation &amp; Predictive Analytics</w:t>
      </w:r>
    </w:p>
    <w:p w14:paraId="128F3303" w14:textId="77777777" w:rsidR="00610C15" w:rsidRDefault="007808B7">
      <w:pPr>
        <w:pStyle w:val="ListParagraph"/>
        <w:numPr>
          <w:ilvl w:val="0"/>
          <w:numId w:val="2"/>
        </w:numPr>
        <w:spacing w:after="80"/>
      </w:pPr>
      <w:r>
        <w:t>NISPOM &amp; NIST Compliance; Federal Security Standards</w:t>
      </w:r>
    </w:p>
    <w:p w14:paraId="1AA4B0CA" w14:textId="77777777" w:rsidR="00610C15" w:rsidRDefault="007808B7">
      <w:pPr>
        <w:pStyle w:val="ListParagraph"/>
        <w:numPr>
          <w:ilvl w:val="0"/>
          <w:numId w:val="2"/>
        </w:numPr>
        <w:spacing w:after="80"/>
      </w:pPr>
      <w:r>
        <w:t>Expert Reporting &amp; Executive-Level Briefing Delivery</w:t>
      </w:r>
    </w:p>
    <w:p w14:paraId="3B1EFFCA" w14:textId="77777777" w:rsidR="00610C15" w:rsidRDefault="00610C15">
      <w:pPr>
        <w:spacing w:after="140"/>
      </w:pPr>
    </w:p>
    <w:p w14:paraId="2F47AA05" w14:textId="77777777" w:rsidR="00610C15" w:rsidRDefault="007808B7">
      <w:pPr>
        <w:pBdr>
          <w:bottom w:val="single" w:sz="6" w:space="1" w:color="2E75B6"/>
        </w:pBdr>
        <w:spacing w:before="280" w:after="100"/>
      </w:pPr>
      <w:r>
        <w:rPr>
          <w:b/>
          <w:bCs/>
          <w:color w:val="1F4E79"/>
          <w:sz w:val="24"/>
          <w:szCs w:val="24"/>
        </w:rPr>
        <w:lastRenderedPageBreak/>
        <w:t>LITIGATION SUPPORT CAPABILITIES</w:t>
      </w:r>
    </w:p>
    <w:p w14:paraId="6B526026" w14:textId="77777777" w:rsidR="00610C15" w:rsidRDefault="007808B7">
      <w:pPr>
        <w:spacing w:after="120"/>
        <w:jc w:val="both"/>
      </w:pPr>
      <w:r>
        <w:t>Mr. Ference is prepared to provide the following expert witness services:</w:t>
      </w:r>
    </w:p>
    <w:p w14:paraId="523F85F1" w14:textId="77777777" w:rsidR="00610C15" w:rsidRDefault="007808B7">
      <w:pPr>
        <w:pStyle w:val="ListParagraph"/>
        <w:numPr>
          <w:ilvl w:val="0"/>
          <w:numId w:val="2"/>
        </w:numPr>
        <w:spacing w:after="80"/>
      </w:pPr>
      <w:r>
        <w:t>Written expert reports, declarations, and affidavits on cybersecurity and insider threat matters</w:t>
      </w:r>
    </w:p>
    <w:p w14:paraId="6A025D5E" w14:textId="77777777" w:rsidR="00610C15" w:rsidRDefault="007808B7">
      <w:pPr>
        <w:pStyle w:val="ListParagraph"/>
        <w:numPr>
          <w:ilvl w:val="0"/>
          <w:numId w:val="2"/>
        </w:numPr>
        <w:spacing w:after="80"/>
      </w:pPr>
      <w:r>
        <w:t>Analysis of digital evidence, system logs, SIEM data, and user activity records</w:t>
      </w:r>
    </w:p>
    <w:p w14:paraId="77C4D1C9" w14:textId="77777777" w:rsidR="00610C15" w:rsidRDefault="007808B7">
      <w:pPr>
        <w:pStyle w:val="ListParagraph"/>
        <w:numPr>
          <w:ilvl w:val="0"/>
          <w:numId w:val="2"/>
        </w:numPr>
        <w:spacing w:after="80"/>
      </w:pPr>
      <w:r>
        <w:t>Evaluation of organizational security policies, monitoring practices, and incident response procedures</w:t>
      </w:r>
    </w:p>
    <w:p w14:paraId="54B108C6" w14:textId="77777777" w:rsidR="00610C15" w:rsidRDefault="007808B7">
      <w:pPr>
        <w:pStyle w:val="ListParagraph"/>
        <w:numPr>
          <w:ilvl w:val="0"/>
          <w:numId w:val="2"/>
        </w:numPr>
        <w:spacing w:after="80"/>
      </w:pPr>
      <w:r>
        <w:t>Assessment of whether industry standards (NIST, NISPOM, MITRE ATT&amp;CK) were met or breached</w:t>
      </w:r>
    </w:p>
    <w:p w14:paraId="26AA7E68" w14:textId="77777777" w:rsidR="00610C15" w:rsidRDefault="007808B7">
      <w:pPr>
        <w:pStyle w:val="ListParagraph"/>
        <w:numPr>
          <w:ilvl w:val="0"/>
          <w:numId w:val="2"/>
        </w:numPr>
        <w:spacing w:after="80"/>
      </w:pPr>
      <w:r>
        <w:t>Deposition testimony and courtroom expert witness testimony</w:t>
      </w:r>
    </w:p>
    <w:p w14:paraId="75C01386" w14:textId="77777777" w:rsidR="00610C15" w:rsidRDefault="007808B7">
      <w:pPr>
        <w:pStyle w:val="ListParagraph"/>
        <w:numPr>
          <w:ilvl w:val="0"/>
          <w:numId w:val="2"/>
        </w:numPr>
        <w:spacing w:after="80"/>
      </w:pPr>
      <w:r>
        <w:t>Rebuttal analysis of opposing expert opinions in cybersecurity and fraud cases</w:t>
      </w:r>
    </w:p>
    <w:p w14:paraId="64BA0146" w14:textId="77777777" w:rsidR="00610C15" w:rsidRDefault="007808B7">
      <w:pPr>
        <w:pStyle w:val="ListParagraph"/>
        <w:numPr>
          <w:ilvl w:val="0"/>
          <w:numId w:val="2"/>
        </w:numPr>
        <w:spacing w:after="80"/>
      </w:pPr>
      <w:r>
        <w:t>Consulting support for counsel on technical discovery and forensic strategy</w:t>
      </w:r>
    </w:p>
    <w:p w14:paraId="4ECFD589" w14:textId="77777777" w:rsidR="00610C15" w:rsidRDefault="00610C15">
      <w:pPr>
        <w:spacing w:after="140"/>
      </w:pPr>
    </w:p>
    <w:p w14:paraId="163FD352" w14:textId="77777777" w:rsidR="00610C15" w:rsidRDefault="007808B7">
      <w:pPr>
        <w:pBdr>
          <w:bottom w:val="single" w:sz="6" w:space="1" w:color="2E75B6"/>
        </w:pBdr>
        <w:spacing w:before="280" w:after="100"/>
      </w:pPr>
      <w:r>
        <w:rPr>
          <w:b/>
          <w:bCs/>
          <w:color w:val="1F4E79"/>
          <w:sz w:val="24"/>
          <w:szCs w:val="24"/>
        </w:rPr>
        <w:t>NOTABLE CASEWORK</w:t>
      </w:r>
    </w:p>
    <w:p w14:paraId="299AAF81" w14:textId="77777777" w:rsidR="00610C15" w:rsidRDefault="007808B7">
      <w:pPr>
        <w:spacing w:after="200"/>
        <w:jc w:val="both"/>
      </w:pPr>
      <w:r>
        <w:t>Landmark Civil Wrongful Death Case: As an independent investigator and expert consultant, Mr. Ference provided investigative analysis and expert consultation in a civil wrongful death proceeding that resulted in a precedent-setting U.S. court ruling establishing dram shop liability for serving alcohol to individuals with known intemperate habits. This case demonstrates his ability to deliver authoritative expert analysis that directly informs judicial outcomes.</w:t>
      </w:r>
    </w:p>
    <w:p w14:paraId="2E4BC2FA" w14:textId="77777777" w:rsidR="00610C15" w:rsidRDefault="007808B7">
      <w:pPr>
        <w:pBdr>
          <w:bottom w:val="single" w:sz="6" w:space="1" w:color="2E75B6"/>
        </w:pBdr>
        <w:spacing w:before="280" w:after="100"/>
      </w:pPr>
      <w:r>
        <w:rPr>
          <w:b/>
          <w:bCs/>
          <w:color w:val="1F4E79"/>
          <w:sz w:val="24"/>
          <w:szCs w:val="24"/>
        </w:rPr>
        <w:t>CREDENTIALS &amp; CERTIFICATIONS</w:t>
      </w:r>
    </w:p>
    <w:p w14:paraId="2B83C5DE" w14:textId="77777777" w:rsidR="00610C15" w:rsidRDefault="007808B7">
      <w:pPr>
        <w:pStyle w:val="ListParagraph"/>
        <w:numPr>
          <w:ilvl w:val="0"/>
          <w:numId w:val="2"/>
        </w:numPr>
        <w:spacing w:after="80"/>
      </w:pPr>
      <w:r>
        <w:t>Certified Insider Threat Program Manager — Carnegie Mellon University SEI (2024)</w:t>
      </w:r>
    </w:p>
    <w:p w14:paraId="794A8F57" w14:textId="77777777" w:rsidR="00610C15" w:rsidRDefault="007808B7">
      <w:pPr>
        <w:pStyle w:val="ListParagraph"/>
        <w:numPr>
          <w:ilvl w:val="0"/>
          <w:numId w:val="2"/>
        </w:numPr>
        <w:spacing w:after="80"/>
      </w:pPr>
      <w:r>
        <w:t>Certified Insider Threat Analyst (</w:t>
      </w:r>
      <w:proofErr w:type="gramStart"/>
      <w:r>
        <w:t>ITA) —</w:t>
      </w:r>
      <w:proofErr w:type="gramEnd"/>
      <w:r>
        <w:t xml:space="preserve"> Carnegie Mellon University SEI (2024)</w:t>
      </w:r>
    </w:p>
    <w:p w14:paraId="3C69F790" w14:textId="77777777" w:rsidR="00610C15" w:rsidRDefault="007808B7">
      <w:pPr>
        <w:pStyle w:val="ListParagraph"/>
        <w:numPr>
          <w:ilvl w:val="0"/>
          <w:numId w:val="2"/>
        </w:numPr>
        <w:spacing w:after="80"/>
      </w:pPr>
      <w:r>
        <w:t>Palo Alto Cortex XSIAM — Investigation and Analysis Certified (2026)</w:t>
      </w:r>
    </w:p>
    <w:p w14:paraId="484B2C00" w14:textId="77777777" w:rsidR="00610C15" w:rsidRDefault="007808B7">
      <w:pPr>
        <w:pStyle w:val="ListParagraph"/>
        <w:numPr>
          <w:ilvl w:val="0"/>
          <w:numId w:val="2"/>
        </w:numPr>
        <w:spacing w:after="80"/>
      </w:pPr>
      <w:r>
        <w:t>AI Prompt Engineer — Certified, Netcom (2025)</w:t>
      </w:r>
    </w:p>
    <w:p w14:paraId="06E3C9EE" w14:textId="77777777" w:rsidR="00610C15" w:rsidRDefault="007808B7">
      <w:pPr>
        <w:pStyle w:val="ListParagraph"/>
        <w:numPr>
          <w:ilvl w:val="0"/>
          <w:numId w:val="2"/>
        </w:numPr>
        <w:spacing w:after="80"/>
      </w:pPr>
      <w:r>
        <w:t>Splunk Certified Power User (2024)</w:t>
      </w:r>
    </w:p>
    <w:p w14:paraId="6BC65F56" w14:textId="77777777" w:rsidR="00610C15" w:rsidRDefault="007808B7">
      <w:pPr>
        <w:pStyle w:val="ListParagraph"/>
        <w:numPr>
          <w:ilvl w:val="0"/>
          <w:numId w:val="2"/>
        </w:numPr>
        <w:spacing w:after="80"/>
      </w:pPr>
      <w:r>
        <w:t>Building an Insider Threat Program — Carnegie Mellon University SEI (2024)</w:t>
      </w:r>
    </w:p>
    <w:p w14:paraId="34446911" w14:textId="77777777" w:rsidR="00610C15" w:rsidRDefault="007808B7">
      <w:pPr>
        <w:pStyle w:val="ListParagraph"/>
        <w:numPr>
          <w:ilvl w:val="0"/>
          <w:numId w:val="2"/>
        </w:numPr>
        <w:spacing w:after="80"/>
      </w:pPr>
      <w:r>
        <w:t>Cyber Insider Threat — Defense Department CDSE (2019)</w:t>
      </w:r>
    </w:p>
    <w:p w14:paraId="3F7F90B6" w14:textId="77777777" w:rsidR="00610C15" w:rsidRDefault="007808B7">
      <w:pPr>
        <w:pStyle w:val="ListParagraph"/>
        <w:numPr>
          <w:ilvl w:val="0"/>
          <w:numId w:val="2"/>
        </w:numPr>
        <w:spacing w:after="80"/>
      </w:pPr>
      <w:r>
        <w:t xml:space="preserve">M.S., Criminal Justice (Research &amp; Policy </w:t>
      </w:r>
      <w:proofErr w:type="gramStart"/>
      <w:r>
        <w:t>Analysis) —</w:t>
      </w:r>
      <w:proofErr w:type="gramEnd"/>
      <w:r>
        <w:t xml:space="preserve"> University of Cincinnati</w:t>
      </w:r>
    </w:p>
    <w:p w14:paraId="1BDF604C" w14:textId="77777777" w:rsidR="00610C15" w:rsidRDefault="007808B7">
      <w:pPr>
        <w:pStyle w:val="ListParagraph"/>
        <w:numPr>
          <w:ilvl w:val="0"/>
          <w:numId w:val="2"/>
        </w:numPr>
        <w:spacing w:after="80"/>
      </w:pPr>
      <w:r>
        <w:t>B.S., Administration of Justice — Pennsylvania State University</w:t>
      </w:r>
    </w:p>
    <w:p w14:paraId="637E16B4" w14:textId="77777777" w:rsidR="00610C15" w:rsidRDefault="00610C15">
      <w:pPr>
        <w:spacing w:after="140"/>
      </w:pPr>
    </w:p>
    <w:p w14:paraId="7739E216" w14:textId="77777777" w:rsidR="00610C15" w:rsidRDefault="007808B7">
      <w:pPr>
        <w:pBdr>
          <w:bottom w:val="single" w:sz="6" w:space="1" w:color="2E75B6"/>
        </w:pBdr>
        <w:spacing w:before="280" w:after="100"/>
      </w:pPr>
      <w:r>
        <w:rPr>
          <w:b/>
          <w:bCs/>
          <w:color w:val="1F4E79"/>
          <w:sz w:val="24"/>
          <w:szCs w:val="24"/>
        </w:rPr>
        <w:t>PROFESSIONAL HISTORY</w:t>
      </w:r>
    </w:p>
    <w:p w14:paraId="02A35903" w14:textId="4D6E90C7" w:rsidR="00610C15" w:rsidRDefault="007808B7">
      <w:pPr>
        <w:spacing w:after="60"/>
      </w:pPr>
      <w:r>
        <w:rPr>
          <w:b/>
          <w:bCs/>
        </w:rPr>
        <w:t xml:space="preserve">Senior Insider Threat </w:t>
      </w:r>
      <w:r w:rsidR="00AF6A87">
        <w:rPr>
          <w:b/>
          <w:bCs/>
        </w:rPr>
        <w:t>Analyst</w:t>
      </w:r>
      <w:r w:rsidR="00AF6A87">
        <w:t xml:space="preserve"> | Noblis</w:t>
      </w:r>
      <w:r>
        <w:t xml:space="preserve"> — IRS IT </w:t>
      </w:r>
      <w:r w:rsidR="00AF6A87">
        <w:t>Cybersecurity | 2019</w:t>
      </w:r>
      <w:r>
        <w:t>–2026</w:t>
      </w:r>
    </w:p>
    <w:p w14:paraId="4F9A74AC" w14:textId="77777777" w:rsidR="00610C15" w:rsidRDefault="007808B7">
      <w:pPr>
        <w:spacing w:after="140"/>
        <w:jc w:val="both"/>
      </w:pPr>
      <w:r>
        <w:t>Investigated unauthorized access incidents involving IRS employees and contractors; coordinated with TIGTA Cybercrimes Group for escalation and resolution. Triaged incidents in Splunk Enterprise Security, applied behavioral analytics and predictive modeling to detect insider anomalies, analyzed 400+ incident reports, and delivered executive risk briefings. Developed and validated 12+ new insider threat detection use cases.</w:t>
      </w:r>
    </w:p>
    <w:p w14:paraId="737AC73F" w14:textId="58F2DF32" w:rsidR="00610C15" w:rsidRDefault="007808B7">
      <w:pPr>
        <w:spacing w:after="60"/>
      </w:pPr>
      <w:r>
        <w:rPr>
          <w:b/>
          <w:bCs/>
        </w:rPr>
        <w:t xml:space="preserve">Principal Investigator / </w:t>
      </w:r>
      <w:r w:rsidR="00AF6A87">
        <w:rPr>
          <w:b/>
          <w:bCs/>
        </w:rPr>
        <w:t>Consultant</w:t>
      </w:r>
      <w:r w:rsidR="00AF6A87">
        <w:t xml:space="preserve"> | Independent | 2012</w:t>
      </w:r>
      <w:r>
        <w:t>–2019</w:t>
      </w:r>
    </w:p>
    <w:p w14:paraId="483AA7C9" w14:textId="77777777" w:rsidR="00610C15" w:rsidRDefault="007808B7">
      <w:pPr>
        <w:spacing w:after="140"/>
        <w:jc w:val="both"/>
      </w:pPr>
      <w:r>
        <w:t>Conducted complex civil and criminal investigations involving fraud, theft, workplace violence, and wrongful death. Performed OSINT and background inquiries, collected and preserved digital and physical evidence, conducted structured witness interviews, and prepared investigative reports for legal counsel and litigation proceedings.</w:t>
      </w:r>
    </w:p>
    <w:p w14:paraId="0D439314" w14:textId="0EA06C86" w:rsidR="00610C15" w:rsidRDefault="007808B7">
      <w:pPr>
        <w:spacing w:after="60"/>
      </w:pPr>
      <w:r>
        <w:rPr>
          <w:b/>
          <w:bCs/>
        </w:rPr>
        <w:lastRenderedPageBreak/>
        <w:t xml:space="preserve">Background </w:t>
      </w:r>
      <w:r w:rsidR="00AF6A87">
        <w:rPr>
          <w:b/>
          <w:bCs/>
        </w:rPr>
        <w:t>Investigator</w:t>
      </w:r>
      <w:r w:rsidR="00AF6A87">
        <w:t xml:space="preserve"> | CACI</w:t>
      </w:r>
      <w:r>
        <w:t xml:space="preserve"> </w:t>
      </w:r>
      <w:r w:rsidR="00AF6A87">
        <w:t>International | 2017</w:t>
      </w:r>
      <w:r>
        <w:t>–2019</w:t>
      </w:r>
    </w:p>
    <w:p w14:paraId="746E1D8F" w14:textId="77777777" w:rsidR="00610C15" w:rsidRDefault="007808B7">
      <w:pPr>
        <w:spacing w:after="200"/>
        <w:jc w:val="both"/>
      </w:pPr>
      <w:r>
        <w:t xml:space="preserve">Conducted classified federal background investigations assessing character, suitability, and security clearance eligibility </w:t>
      </w:r>
      <w:proofErr w:type="gramStart"/>
      <w:r>
        <w:t>per</w:t>
      </w:r>
      <w:proofErr w:type="gramEnd"/>
      <w:r>
        <w:t xml:space="preserve"> federal adjudicative guidelines. Recognized on the Leaderboard for Investigator Quality &amp; Performance 10 times; achieved first-pass quality on 80+ cases.</w:t>
      </w:r>
    </w:p>
    <w:p w14:paraId="3F70F91A" w14:textId="4C95655F" w:rsidR="00610C15" w:rsidRDefault="007808B7">
      <w:pPr>
        <w:pBdr>
          <w:bottom w:val="single" w:sz="6" w:space="1" w:color="CCCCCC"/>
        </w:pBdr>
        <w:spacing w:before="200"/>
      </w:pPr>
      <w:r>
        <w:rPr>
          <w:i/>
          <w:iCs/>
          <w:color w:val="777777"/>
          <w:sz w:val="18"/>
          <w:szCs w:val="18"/>
        </w:rPr>
        <w:t>Available for case consultation, expert report preparation, deposition, and trial testimony nationwide.  Contact: (703) 485-</w:t>
      </w:r>
      <w:r w:rsidR="00AF6A87">
        <w:rPr>
          <w:i/>
          <w:iCs/>
          <w:color w:val="777777"/>
          <w:sz w:val="18"/>
          <w:szCs w:val="18"/>
        </w:rPr>
        <w:t>6725 | Steeltown12@protonmail.com</w:t>
      </w:r>
    </w:p>
    <w:sectPr w:rsidR="00610C15">
      <w:pgSz w:w="12240" w:h="15840"/>
      <w:pgMar w:top="1260" w:right="1440" w:bottom="126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E7997"/>
    <w:multiLevelType w:val="hybridMultilevel"/>
    <w:tmpl w:val="E09C8056"/>
    <w:lvl w:ilvl="0" w:tplc="F8742EAC">
      <w:start w:val="1"/>
      <w:numFmt w:val="bullet"/>
      <w:lvlText w:val="•"/>
      <w:lvlJc w:val="left"/>
      <w:pPr>
        <w:ind w:left="540" w:hanging="270"/>
      </w:pPr>
    </w:lvl>
    <w:lvl w:ilvl="1" w:tplc="D91237A6">
      <w:numFmt w:val="decimal"/>
      <w:lvlText w:val=""/>
      <w:lvlJc w:val="left"/>
    </w:lvl>
    <w:lvl w:ilvl="2" w:tplc="66F669F6">
      <w:numFmt w:val="decimal"/>
      <w:lvlText w:val=""/>
      <w:lvlJc w:val="left"/>
    </w:lvl>
    <w:lvl w:ilvl="3" w:tplc="67103B04">
      <w:numFmt w:val="decimal"/>
      <w:lvlText w:val=""/>
      <w:lvlJc w:val="left"/>
    </w:lvl>
    <w:lvl w:ilvl="4" w:tplc="59C42100">
      <w:numFmt w:val="decimal"/>
      <w:lvlText w:val=""/>
      <w:lvlJc w:val="left"/>
    </w:lvl>
    <w:lvl w:ilvl="5" w:tplc="45925868">
      <w:numFmt w:val="decimal"/>
      <w:lvlText w:val=""/>
      <w:lvlJc w:val="left"/>
    </w:lvl>
    <w:lvl w:ilvl="6" w:tplc="EC16A84A">
      <w:numFmt w:val="decimal"/>
      <w:lvlText w:val=""/>
      <w:lvlJc w:val="left"/>
    </w:lvl>
    <w:lvl w:ilvl="7" w:tplc="B50659D6">
      <w:numFmt w:val="decimal"/>
      <w:lvlText w:val=""/>
      <w:lvlJc w:val="left"/>
    </w:lvl>
    <w:lvl w:ilvl="8" w:tplc="CEBED75C">
      <w:numFmt w:val="decimal"/>
      <w:lvlText w:val=""/>
      <w:lvlJc w:val="left"/>
    </w:lvl>
  </w:abstractNum>
  <w:abstractNum w:abstractNumId="1" w15:restartNumberingAfterBreak="0">
    <w:nsid w:val="3FDB764C"/>
    <w:multiLevelType w:val="hybridMultilevel"/>
    <w:tmpl w:val="44B40788"/>
    <w:lvl w:ilvl="0" w:tplc="31722C7E">
      <w:start w:val="1"/>
      <w:numFmt w:val="bullet"/>
      <w:lvlText w:val="●"/>
      <w:lvlJc w:val="left"/>
      <w:pPr>
        <w:ind w:left="720" w:hanging="360"/>
      </w:pPr>
    </w:lvl>
    <w:lvl w:ilvl="1" w:tplc="4874FE60">
      <w:start w:val="1"/>
      <w:numFmt w:val="bullet"/>
      <w:lvlText w:val="○"/>
      <w:lvlJc w:val="left"/>
      <w:pPr>
        <w:ind w:left="1440" w:hanging="360"/>
      </w:pPr>
    </w:lvl>
    <w:lvl w:ilvl="2" w:tplc="5CEAD4CA">
      <w:start w:val="1"/>
      <w:numFmt w:val="bullet"/>
      <w:lvlText w:val="■"/>
      <w:lvlJc w:val="left"/>
      <w:pPr>
        <w:ind w:left="2160" w:hanging="360"/>
      </w:pPr>
    </w:lvl>
    <w:lvl w:ilvl="3" w:tplc="C74E8FE6">
      <w:start w:val="1"/>
      <w:numFmt w:val="bullet"/>
      <w:lvlText w:val="●"/>
      <w:lvlJc w:val="left"/>
      <w:pPr>
        <w:ind w:left="2880" w:hanging="360"/>
      </w:pPr>
    </w:lvl>
    <w:lvl w:ilvl="4" w:tplc="F0465B64">
      <w:start w:val="1"/>
      <w:numFmt w:val="bullet"/>
      <w:lvlText w:val="○"/>
      <w:lvlJc w:val="left"/>
      <w:pPr>
        <w:ind w:left="3600" w:hanging="360"/>
      </w:pPr>
    </w:lvl>
    <w:lvl w:ilvl="5" w:tplc="7514EE72">
      <w:start w:val="1"/>
      <w:numFmt w:val="bullet"/>
      <w:lvlText w:val="■"/>
      <w:lvlJc w:val="left"/>
      <w:pPr>
        <w:ind w:left="4320" w:hanging="360"/>
      </w:pPr>
    </w:lvl>
    <w:lvl w:ilvl="6" w:tplc="4B50BA8C">
      <w:start w:val="1"/>
      <w:numFmt w:val="bullet"/>
      <w:lvlText w:val="●"/>
      <w:lvlJc w:val="left"/>
      <w:pPr>
        <w:ind w:left="5040" w:hanging="360"/>
      </w:pPr>
    </w:lvl>
    <w:lvl w:ilvl="7" w:tplc="3FF62C80">
      <w:start w:val="1"/>
      <w:numFmt w:val="bullet"/>
      <w:lvlText w:val="●"/>
      <w:lvlJc w:val="left"/>
      <w:pPr>
        <w:ind w:left="5760" w:hanging="360"/>
      </w:pPr>
    </w:lvl>
    <w:lvl w:ilvl="8" w:tplc="7B3E7EA2">
      <w:start w:val="1"/>
      <w:numFmt w:val="bullet"/>
      <w:lvlText w:val="●"/>
      <w:lvlJc w:val="left"/>
      <w:pPr>
        <w:ind w:left="6480" w:hanging="360"/>
      </w:pPr>
    </w:lvl>
  </w:abstractNum>
  <w:num w:numId="1" w16cid:durableId="2085102354">
    <w:abstractNumId w:val="1"/>
    <w:lvlOverride w:ilvl="0">
      <w:startOverride w:val="1"/>
    </w:lvlOverride>
  </w:num>
  <w:num w:numId="2" w16cid:durableId="772127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15"/>
    <w:rsid w:val="0020546C"/>
    <w:rsid w:val="00610C15"/>
    <w:rsid w:val="007808B7"/>
    <w:rsid w:val="00AF6A87"/>
    <w:rsid w:val="00C6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0F656"/>
  <w15:docId w15:val="{C635D660-A56D-44C1-B9EA-50A55167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Fer</cp:lastModifiedBy>
  <cp:revision>2</cp:revision>
  <dcterms:created xsi:type="dcterms:W3CDTF">2026-05-29T16:50:00Z</dcterms:created>
  <dcterms:modified xsi:type="dcterms:W3CDTF">2026-05-29T16:50:00Z</dcterms:modified>
</cp:coreProperties>
</file>